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pPr>
      <w:r w:rsidDel="00000000" w:rsidR="00000000" w:rsidRPr="00000000">
        <w:rPr>
          <w:rtl w:val="0"/>
        </w:rPr>
        <w:t xml:space="preserve">SJSU Charles W. Davidson College of Engineering Student Conference Support Grants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00" w:right="78"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Davidson College of Engineering (CoE) will offer a limited number of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Davidson Student Conference Support Grants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to support students as they present an accepted paper at a well- recognized conference. The grant amount, eligibility conditions, and other relevant information are provided below.</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820" w:right="78" w:hanging="72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single"/>
          <w:shd w:fill="auto" w:val="clear"/>
          <w:vertAlign w:val="baseline"/>
          <w:rtl w:val="0"/>
        </w:rPr>
        <w:t xml:space="preserve">Grant Amount</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Up to $1000 per faculty advisor, per year, to support a mentored student as they present an accepted research paper at a conference. The up to $1000 grant may be shared by two or more students supervised by the same faculty mentor, as they present different accepted papers at the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same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conference.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single"/>
          <w:shd w:fill="auto" w:val="clear"/>
          <w:vertAlign w:val="baseline"/>
          <w:rtl w:val="0"/>
        </w:rPr>
        <w:t xml:space="preserve">Eligibility</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All currently enrolled undergraduate or graduate CoE students in good standing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85" w:lineRule="auto"/>
        <w:ind w:left="820" w:right="78" w:hanging="72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single"/>
          <w:shd w:fill="auto" w:val="clear"/>
          <w:vertAlign w:val="baseline"/>
          <w:rtl w:val="0"/>
        </w:rPr>
        <w:t xml:space="preserve">Due Dates:</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grants are awarded on a first-come first-serve basis until the supporting budget is exhausted. The applications should be submitted by:</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55"/>
        </w:tabs>
        <w:spacing w:after="0" w:before="6" w:line="240" w:lineRule="auto"/>
        <w:ind w:left="954"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February 1 for papers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accepted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during June 1 – Jan. 31</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55"/>
        </w:tabs>
        <w:spacing w:after="0" w:before="52" w:line="240" w:lineRule="auto"/>
        <w:ind w:left="954"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June 1 for papers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accepted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during Feb. 1 – May 31</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55"/>
        </w:tabs>
        <w:spacing w:after="0" w:before="46" w:line="240" w:lineRule="auto"/>
        <w:ind w:left="954" w:right="0" w:hanging="13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October 1 for papers </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accepted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between June 1 – Sept 30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E">
      <w:pPr>
        <w:ind w:left="100" w:firstLine="0"/>
        <w:rPr>
          <w:b w:val="1"/>
          <w:sz w:val="21"/>
          <w:szCs w:val="21"/>
        </w:rPr>
      </w:pPr>
      <w:r w:rsidDel="00000000" w:rsidR="00000000" w:rsidRPr="00000000">
        <w:rPr>
          <w:b w:val="1"/>
          <w:sz w:val="21"/>
          <w:szCs w:val="21"/>
          <w:u w:val="single"/>
          <w:rtl w:val="0"/>
        </w:rPr>
        <w:t xml:space="preserve">Conditions</w:t>
      </w:r>
      <w:r w:rsidDel="00000000" w:rsidR="00000000" w:rsidRPr="00000000">
        <w:rPr>
          <w:b w:val="1"/>
          <w:sz w:val="21"/>
          <w:szCs w:val="21"/>
          <w:rtl w:val="0"/>
        </w:rPr>
        <w:t xml:space="preserve">:</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1" w:line="290" w:lineRule="auto"/>
        <w:ind w:left="820" w:right="124" w:hanging="72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sz w:val="21"/>
          <w:szCs w:val="21"/>
          <w:rtl w:val="0"/>
        </w:rPr>
        <w:t xml:space="preserve">At the time of the conference, the student should be an enrolled student in the College of Engineering.</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51" w:line="290" w:lineRule="auto"/>
        <w:ind w:left="820" w:right="124" w:hanging="72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At the time a student applies for the CoE conference support, she/he should also apply for a support grant sponsored by the conference organization if available. An approved CoE grant is provisional until the student documents that no such grant is offered by the conference organization, or that it’s offered but an application submitted for one was declined.</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90" w:lineRule="auto"/>
        <w:ind w:left="820" w:right="531" w:hanging="72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Only a presentation in a domestic, high-quality conference sponsored by a well-recognized professional organization will be supported. Objective metrics used to assess the quality of a conference such as the Google Scholar h-5 index, paper acceptance rate, and the conference absolute ranking (if available) will be considered.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820" w:right="78" w:hanging="72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single"/>
          <w:shd w:fill="auto" w:val="clear"/>
          <w:vertAlign w:val="baseline"/>
          <w:rtl w:val="0"/>
        </w:rPr>
        <w:t xml:space="preserve">Application:</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Students apply for a conference support grant by completing a provided application form (in Word) and attaching all requested supporting documents, then uploading them as a single PDF. Documents include:</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79"/>
          <w:tab w:val="left" w:leader="none" w:pos="1180"/>
        </w:tabs>
        <w:spacing w:after="0" w:before="1" w:line="240" w:lineRule="auto"/>
        <w:ind w:left="118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Final paper acceptance notification received from the conference organization.</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79"/>
          <w:tab w:val="left" w:leader="none" w:pos="1180"/>
        </w:tabs>
        <w:spacing w:after="0" w:before="47" w:line="240" w:lineRule="auto"/>
        <w:ind w:left="118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One-page student resume.</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79"/>
          <w:tab w:val="left" w:leader="none" w:pos="1180"/>
        </w:tabs>
        <w:spacing w:after="0" w:before="51" w:line="288" w:lineRule="auto"/>
        <w:ind w:left="1180" w:right="157"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Support form from the faculty mentor commenting on the quality of the paper, the quality of the conference, the recommended funding amount (within the limit</w:t>
      </w:r>
      <w:r w:rsidDel="00000000" w:rsidR="00000000" w:rsidRPr="00000000">
        <w:rPr>
          <w:sz w:val="21"/>
          <w:szCs w:val="21"/>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above), and why it cannot be covered by the faculty’s own research grants (if any). The supporting form must include a list of all grant proposals for external funding submitted within the past 12 months (grant proposal, funding source, project title, total funding requested, date of submission) that included student conference attendance in the project budget, as evidence of good-faith efforts to secure outside funding for student conference attendance.</w:t>
      </w:r>
    </w:p>
    <w:sectPr>
      <w:pgSz w:h="15840" w:w="12240" w:orient="portrait"/>
      <w:pgMar w:bottom="280" w:top="1080" w:left="1340" w:right="13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720"/>
      </w:pPr>
      <w:rPr>
        <w:rFonts w:ascii="Arial" w:cs="Arial" w:eastAsia="Arial" w:hAnsi="Arial"/>
        <w:sz w:val="21"/>
        <w:szCs w:val="21"/>
      </w:rPr>
    </w:lvl>
    <w:lvl w:ilvl="1">
      <w:start w:val="0"/>
      <w:numFmt w:val="bullet"/>
      <w:lvlText w:val="-"/>
      <w:lvlJc w:val="left"/>
      <w:pPr>
        <w:ind w:left="1180" w:hanging="360"/>
      </w:pPr>
      <w:rPr>
        <w:rFonts w:ascii="Arial" w:cs="Arial" w:eastAsia="Arial" w:hAnsi="Arial"/>
        <w:sz w:val="21"/>
        <w:szCs w:val="21"/>
      </w:rPr>
    </w:lvl>
    <w:lvl w:ilvl="2">
      <w:start w:val="0"/>
      <w:numFmt w:val="bullet"/>
      <w:lvlText w:val="•"/>
      <w:lvlJc w:val="left"/>
      <w:pPr>
        <w:ind w:left="2106" w:hanging="360"/>
      </w:pPr>
      <w:rPr/>
    </w:lvl>
    <w:lvl w:ilvl="3">
      <w:start w:val="0"/>
      <w:numFmt w:val="bullet"/>
      <w:lvlText w:val="•"/>
      <w:lvlJc w:val="left"/>
      <w:pPr>
        <w:ind w:left="3033" w:hanging="360"/>
      </w:pPr>
      <w:rPr/>
    </w:lvl>
    <w:lvl w:ilvl="4">
      <w:start w:val="0"/>
      <w:numFmt w:val="bullet"/>
      <w:lvlText w:val="•"/>
      <w:lvlJc w:val="left"/>
      <w:pPr>
        <w:ind w:left="3960" w:hanging="360"/>
      </w:pPr>
      <w:rPr/>
    </w:lvl>
    <w:lvl w:ilvl="5">
      <w:start w:val="0"/>
      <w:numFmt w:val="bullet"/>
      <w:lvlText w:val="•"/>
      <w:lvlJc w:val="left"/>
      <w:pPr>
        <w:ind w:left="4886" w:hanging="360"/>
      </w:pPr>
      <w:rPr/>
    </w:lvl>
    <w:lvl w:ilvl="6">
      <w:start w:val="0"/>
      <w:numFmt w:val="bullet"/>
      <w:lvlText w:val="•"/>
      <w:lvlJc w:val="left"/>
      <w:pPr>
        <w:ind w:left="5813" w:hanging="360"/>
      </w:pPr>
      <w:rPr/>
    </w:lvl>
    <w:lvl w:ilvl="7">
      <w:start w:val="0"/>
      <w:numFmt w:val="bullet"/>
      <w:lvlText w:val="•"/>
      <w:lvlJc w:val="left"/>
      <w:pPr>
        <w:ind w:left="6740" w:hanging="360"/>
      </w:pPr>
      <w:rPr/>
    </w:lvl>
    <w:lvl w:ilvl="8">
      <w:start w:val="0"/>
      <w:numFmt w:val="bullet"/>
      <w:lvlText w:val="•"/>
      <w:lvlJc w:val="left"/>
      <w:pPr>
        <w:ind w:left="7666" w:hanging="360"/>
      </w:pPr>
      <w:rPr/>
    </w:lvl>
  </w:abstractNum>
  <w:abstractNum w:abstractNumId="2">
    <w:lvl w:ilvl="0">
      <w:start w:val="0"/>
      <w:numFmt w:val="bullet"/>
      <w:lvlText w:val="-"/>
      <w:lvlJc w:val="left"/>
      <w:pPr>
        <w:ind w:left="954" w:hanging="135"/>
      </w:pPr>
      <w:rPr>
        <w:rFonts w:ascii="Arial" w:cs="Arial" w:eastAsia="Arial" w:hAnsi="Arial"/>
        <w:sz w:val="21"/>
        <w:szCs w:val="21"/>
      </w:rPr>
    </w:lvl>
    <w:lvl w:ilvl="1">
      <w:start w:val="0"/>
      <w:numFmt w:val="bullet"/>
      <w:lvlText w:val="•"/>
      <w:lvlJc w:val="left"/>
      <w:pPr>
        <w:ind w:left="1816" w:hanging="135"/>
      </w:pPr>
      <w:rPr/>
    </w:lvl>
    <w:lvl w:ilvl="2">
      <w:start w:val="0"/>
      <w:numFmt w:val="bullet"/>
      <w:lvlText w:val="•"/>
      <w:lvlJc w:val="left"/>
      <w:pPr>
        <w:ind w:left="2672" w:hanging="135"/>
      </w:pPr>
      <w:rPr/>
    </w:lvl>
    <w:lvl w:ilvl="3">
      <w:start w:val="0"/>
      <w:numFmt w:val="bullet"/>
      <w:lvlText w:val="•"/>
      <w:lvlJc w:val="left"/>
      <w:pPr>
        <w:ind w:left="3528" w:hanging="135"/>
      </w:pPr>
      <w:rPr/>
    </w:lvl>
    <w:lvl w:ilvl="4">
      <w:start w:val="0"/>
      <w:numFmt w:val="bullet"/>
      <w:lvlText w:val="•"/>
      <w:lvlJc w:val="left"/>
      <w:pPr>
        <w:ind w:left="4384" w:hanging="135"/>
      </w:pPr>
      <w:rPr/>
    </w:lvl>
    <w:lvl w:ilvl="5">
      <w:start w:val="0"/>
      <w:numFmt w:val="bullet"/>
      <w:lvlText w:val="•"/>
      <w:lvlJc w:val="left"/>
      <w:pPr>
        <w:ind w:left="5240" w:hanging="135"/>
      </w:pPr>
      <w:rPr/>
    </w:lvl>
    <w:lvl w:ilvl="6">
      <w:start w:val="0"/>
      <w:numFmt w:val="bullet"/>
      <w:lvlText w:val="•"/>
      <w:lvlJc w:val="left"/>
      <w:pPr>
        <w:ind w:left="6096" w:hanging="135"/>
      </w:pPr>
      <w:rPr/>
    </w:lvl>
    <w:lvl w:ilvl="7">
      <w:start w:val="0"/>
      <w:numFmt w:val="bullet"/>
      <w:lvlText w:val="•"/>
      <w:lvlJc w:val="left"/>
      <w:pPr>
        <w:ind w:left="6952" w:hanging="135"/>
      </w:pPr>
      <w:rPr/>
    </w:lvl>
    <w:lvl w:ilvl="8">
      <w:start w:val="0"/>
      <w:numFmt w:val="bullet"/>
      <w:lvlText w:val="•"/>
      <w:lvlJc w:val="left"/>
      <w:pPr>
        <w:ind w:left="7808" w:hanging="13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3" w:lineRule="auto"/>
      <w:ind w:left="2647" w:right="1553" w:hanging="1035"/>
    </w:pPr>
    <w:rPr>
      <w:sz w:val="28"/>
      <w:szCs w:val="28"/>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1"/>
      <w:szCs w:val="21"/>
    </w:rPr>
  </w:style>
  <w:style w:type="paragraph" w:styleId="Title">
    <w:name w:val="Title"/>
    <w:basedOn w:val="Normal"/>
    <w:uiPriority w:val="10"/>
    <w:qFormat w:val="1"/>
    <w:pPr>
      <w:spacing w:before="73"/>
      <w:ind w:left="2647" w:right="1553" w:hanging="1035"/>
    </w:pPr>
    <w:rPr>
      <w:sz w:val="28"/>
      <w:szCs w:val="28"/>
    </w:rPr>
  </w:style>
  <w:style w:type="paragraph" w:styleId="ListParagraph">
    <w:name w:val="List Paragraph"/>
    <w:basedOn w:val="Normal"/>
    <w:uiPriority w:val="1"/>
    <w:qFormat w:val="1"/>
    <w:pPr>
      <w:ind w:left="820" w:hanging="720"/>
    </w:pPr>
  </w:style>
  <w:style w:type="paragraph" w:styleId="TableParagraph" w:customStyle="1">
    <w:name w:val="Table Paragraph"/>
    <w:basedOn w:val="Normal"/>
    <w:uiPriority w:val="1"/>
    <w:qFormat w:val="1"/>
  </w:style>
  <w:style w:type="character" w:styleId="CommentReference">
    <w:name w:val="annotation reference"/>
    <w:basedOn w:val="DefaultParagraphFont"/>
    <w:uiPriority w:val="99"/>
    <w:semiHidden w:val="1"/>
    <w:unhideWhenUsed w:val="1"/>
    <w:rsid w:val="00C5141B"/>
    <w:rPr>
      <w:sz w:val="16"/>
      <w:szCs w:val="16"/>
    </w:rPr>
  </w:style>
  <w:style w:type="paragraph" w:styleId="CommentText">
    <w:name w:val="annotation text"/>
    <w:basedOn w:val="Normal"/>
    <w:link w:val="CommentTextChar"/>
    <w:uiPriority w:val="99"/>
    <w:semiHidden w:val="1"/>
    <w:unhideWhenUsed w:val="1"/>
    <w:rsid w:val="00C5141B"/>
    <w:rPr>
      <w:sz w:val="20"/>
      <w:szCs w:val="20"/>
    </w:rPr>
  </w:style>
  <w:style w:type="character" w:styleId="CommentTextChar" w:customStyle="1">
    <w:name w:val="Comment Text Char"/>
    <w:basedOn w:val="DefaultParagraphFont"/>
    <w:link w:val="CommentText"/>
    <w:uiPriority w:val="99"/>
    <w:semiHidden w:val="1"/>
    <w:rsid w:val="00C5141B"/>
    <w:rPr>
      <w:rFonts w:ascii="Arial" w:cs="Arial" w:eastAsia="Arial" w:hAnsi="Arial"/>
      <w:sz w:val="20"/>
      <w:szCs w:val="20"/>
    </w:rPr>
  </w:style>
  <w:style w:type="paragraph" w:styleId="CommentSubject">
    <w:name w:val="annotation subject"/>
    <w:basedOn w:val="CommentText"/>
    <w:next w:val="CommentText"/>
    <w:link w:val="CommentSubjectChar"/>
    <w:uiPriority w:val="99"/>
    <w:semiHidden w:val="1"/>
    <w:unhideWhenUsed w:val="1"/>
    <w:rsid w:val="00C5141B"/>
    <w:rPr>
      <w:b w:val="1"/>
      <w:bCs w:val="1"/>
    </w:rPr>
  </w:style>
  <w:style w:type="character" w:styleId="CommentSubjectChar" w:customStyle="1">
    <w:name w:val="Comment Subject Char"/>
    <w:basedOn w:val="CommentTextChar"/>
    <w:link w:val="CommentSubject"/>
    <w:uiPriority w:val="99"/>
    <w:semiHidden w:val="1"/>
    <w:rsid w:val="00C5141B"/>
    <w:rPr>
      <w:rFonts w:ascii="Arial" w:cs="Arial" w:eastAsia="Arial" w:hAnsi="Arial"/>
      <w:b w:val="1"/>
      <w:bCs w:val="1"/>
      <w:sz w:val="20"/>
      <w:szCs w:val="20"/>
    </w:rPr>
  </w:style>
  <w:style w:type="paragraph" w:styleId="BalloonText">
    <w:name w:val="Balloon Text"/>
    <w:basedOn w:val="Normal"/>
    <w:link w:val="BalloonTextChar"/>
    <w:uiPriority w:val="99"/>
    <w:semiHidden w:val="1"/>
    <w:unhideWhenUsed w:val="1"/>
    <w:rsid w:val="00C5141B"/>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C5141B"/>
    <w:rPr>
      <w:rFonts w:ascii="Times New Roman" w:cs="Times New Roman" w:eastAsia="Arial"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VgZjcZx5l9NBynfjN3W6z1u6A==">CgMxLjA4AHIhMWQ3Nkt1OExKU2o3a1ZtbG5yTksxU0I4N3p4dGR4X295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2023-05-25T03:43:00Z</dcterms:created>
  <dc:creator>Lisa Francesca</dc:creator>
</cp:coreProperties>
</file>